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rPr>
          <w:rFonts w:ascii="Times New Roman" w:eastAsia="Times New Roman" w:hAnsi="Times New Roman" w:cs="Times New Roman"/>
          <w:color w:val="777777"/>
          <w:sz w:val="24"/>
          <w:szCs w:val="24"/>
          <w:lang w:eastAsia="de-DE"/>
        </w:rPr>
      </w:pPr>
      <w:r>
        <w:rPr>
          <w:rFonts w:ascii="Arial" w:eastAsia="Times New Roman" w:hAnsi="Arial" w:cs="Arial"/>
          <w:b/>
          <w:bCs/>
          <w:color w:val="333333"/>
          <w:kern w:val="36"/>
          <w:sz w:val="42"/>
          <w:szCs w:val="42"/>
          <w:lang w:eastAsia="de-DE"/>
        </w:rPr>
        <w:fldChar w:fldCharType="begin"/>
      </w:r>
      <w:r>
        <w:rPr>
          <w:rFonts w:ascii="Arial" w:eastAsia="Times New Roman" w:hAnsi="Arial" w:cs="Arial"/>
          <w:b/>
          <w:bCs/>
          <w:color w:val="333333"/>
          <w:kern w:val="36"/>
          <w:sz w:val="42"/>
          <w:szCs w:val="42"/>
          <w:lang w:eastAsia="de-DE"/>
        </w:rPr>
        <w:instrText xml:space="preserve"> HYPERLINK "https://www.bmab.de/genehmigungsfiktion-gestoppt/" \o "Permalink to Genehmigungsfiktion (3-5 Wochen Frist) gilt nicht mehr für Hilfsmittel zum Behinderungsausgleich" </w:instrText>
      </w:r>
      <w:r>
        <w:rPr>
          <w:rFonts w:ascii="Arial" w:eastAsia="Times New Roman" w:hAnsi="Arial" w:cs="Arial"/>
          <w:b/>
          <w:bCs/>
          <w:color w:val="333333"/>
          <w:kern w:val="36"/>
          <w:sz w:val="42"/>
          <w:szCs w:val="42"/>
          <w:lang w:eastAsia="de-DE"/>
        </w:rPr>
        <w:fldChar w:fldCharType="separate"/>
      </w:r>
      <w:r>
        <w:rPr>
          <w:rFonts w:ascii="Arial" w:eastAsia="Times New Roman" w:hAnsi="Arial" w:cs="Arial"/>
          <w:b/>
          <w:bCs/>
          <w:color w:val="A3282C"/>
          <w:kern w:val="36"/>
          <w:sz w:val="42"/>
          <w:szCs w:val="42"/>
          <w:lang w:eastAsia="de-DE"/>
        </w:rPr>
        <w:t>Genehmigungsfiktion (3-5 Wochen Frist) gilt nicht mehr für Hilfsmittel zum Behinderungsausgleich</w:t>
      </w:r>
      <w:r>
        <w:rPr>
          <w:rFonts w:ascii="Arial" w:eastAsia="Times New Roman" w:hAnsi="Arial" w:cs="Arial"/>
          <w:b/>
          <w:bCs/>
          <w:color w:val="333333"/>
          <w:kern w:val="36"/>
          <w:sz w:val="42"/>
          <w:szCs w:val="42"/>
          <w:lang w:eastAsia="de-DE"/>
        </w:rPr>
        <w:fldChar w:fldCharType="end"/>
      </w:r>
    </w:p>
    <w:p>
      <w:pPr>
        <w:numPr>
          <w:ilvl w:val="0"/>
          <w:numId w:val="1"/>
        </w:numPr>
        <w:spacing w:before="100" w:beforeAutospacing="1" w:after="100" w:afterAutospacing="1" w:line="240" w:lineRule="auto"/>
        <w:ind w:left="0"/>
        <w:rPr>
          <w:rFonts w:ascii="Arial" w:eastAsia="Times New Roman" w:hAnsi="Arial" w:cs="Arial"/>
          <w:b/>
          <w:bCs/>
          <w:caps/>
          <w:color w:val="999999"/>
          <w:sz w:val="20"/>
          <w:szCs w:val="20"/>
          <w:lang w:eastAsia="de-DE"/>
        </w:rPr>
      </w:pPr>
      <w:r>
        <w:rPr>
          <w:rFonts w:ascii="Arial" w:eastAsia="Times New Roman" w:hAnsi="Arial" w:cs="Arial"/>
          <w:b/>
          <w:bCs/>
          <w:caps/>
          <w:color w:val="999999"/>
          <w:sz w:val="20"/>
          <w:szCs w:val="20"/>
          <w:lang w:eastAsia="de-DE"/>
        </w:rPr>
        <w:t xml:space="preserve">5. April 2018        </w:t>
      </w:r>
    </w:p>
    <w:p>
      <w:pPr>
        <w:numPr>
          <w:ilvl w:val="0"/>
          <w:numId w:val="1"/>
        </w:numPr>
        <w:spacing w:before="100" w:beforeAutospacing="1" w:after="100" w:afterAutospacing="1" w:line="240" w:lineRule="auto"/>
        <w:ind w:left="0"/>
        <w:rPr>
          <w:rFonts w:ascii="Arial" w:eastAsia="Times New Roman" w:hAnsi="Arial" w:cs="Arial"/>
          <w:b/>
          <w:bCs/>
          <w:caps/>
          <w:color w:val="999999"/>
          <w:sz w:val="20"/>
          <w:szCs w:val="20"/>
          <w:lang w:eastAsia="de-DE"/>
        </w:rPr>
      </w:pPr>
      <w:hyperlink r:id="rId5" w:history="1">
        <w:r>
          <w:rPr>
            <w:rFonts w:ascii="Arial" w:eastAsia="Times New Roman" w:hAnsi="Arial" w:cs="Arial"/>
            <w:b/>
            <w:bCs/>
            <w:caps/>
            <w:color w:val="999999"/>
            <w:sz w:val="20"/>
            <w:szCs w:val="20"/>
            <w:lang w:eastAsia="de-DE"/>
          </w:rPr>
          <w:t>Detlef Sonnenberg</w:t>
        </w:r>
      </w:hyperlink>
    </w:p>
    <w:p>
      <w:pPr>
        <w:numPr>
          <w:ilvl w:val="0"/>
          <w:numId w:val="1"/>
        </w:numPr>
        <w:spacing w:before="100" w:beforeAutospacing="1" w:after="100" w:afterAutospacing="1" w:line="240" w:lineRule="auto"/>
        <w:ind w:left="0"/>
        <w:rPr>
          <w:rFonts w:ascii="Arial" w:eastAsia="Times New Roman" w:hAnsi="Arial" w:cs="Arial"/>
          <w:b/>
          <w:bCs/>
          <w:caps/>
          <w:color w:val="999999"/>
          <w:sz w:val="20"/>
          <w:szCs w:val="20"/>
          <w:lang w:eastAsia="de-DE"/>
        </w:rPr>
      </w:pPr>
      <w:hyperlink r:id="rId6" w:history="1">
        <w:r>
          <w:rPr>
            <w:rFonts w:ascii="Arial" w:eastAsia="Times New Roman" w:hAnsi="Arial" w:cs="Arial"/>
            <w:b/>
            <w:bCs/>
            <w:caps/>
            <w:color w:val="999999"/>
            <w:sz w:val="20"/>
            <w:szCs w:val="20"/>
            <w:lang w:eastAsia="de-DE"/>
          </w:rPr>
          <w:t>Aktuelles</w:t>
        </w:r>
      </w:hyperlink>
      <w:r>
        <w:rPr>
          <w:rFonts w:ascii="Arial" w:eastAsia="Times New Roman" w:hAnsi="Arial" w:cs="Arial"/>
          <w:b/>
          <w:bCs/>
          <w:caps/>
          <w:color w:val="999999"/>
          <w:sz w:val="20"/>
          <w:szCs w:val="20"/>
          <w:lang w:eastAsia="de-DE"/>
        </w:rPr>
        <w:t xml:space="preserve">, </w:t>
      </w:r>
      <w:hyperlink r:id="rId7" w:history="1">
        <w:r>
          <w:rPr>
            <w:rFonts w:ascii="Arial" w:eastAsia="Times New Roman" w:hAnsi="Arial" w:cs="Arial"/>
            <w:b/>
            <w:bCs/>
            <w:caps/>
            <w:color w:val="999999"/>
            <w:sz w:val="20"/>
            <w:szCs w:val="20"/>
            <w:lang w:eastAsia="de-DE"/>
          </w:rPr>
          <w:t>Gerichtsurteile</w:t>
        </w:r>
      </w:hyperlink>
    </w:p>
    <w:p>
      <w:pPr>
        <w:spacing w:after="300" w:line="240" w:lineRule="auto"/>
        <w:rPr>
          <w:rFonts w:ascii="Arial" w:eastAsia="Times New Roman" w:hAnsi="Arial" w:cs="Arial"/>
          <w:color w:val="777777"/>
          <w:sz w:val="21"/>
          <w:szCs w:val="21"/>
          <w:lang w:eastAsia="de-DE"/>
        </w:rPr>
      </w:pPr>
      <w:r>
        <w:rPr>
          <w:rFonts w:ascii="Arial" w:eastAsia="Times New Roman" w:hAnsi="Arial" w:cs="Arial"/>
          <w:color w:val="777777"/>
          <w:sz w:val="21"/>
          <w:szCs w:val="21"/>
          <w:lang w:eastAsia="de-DE"/>
        </w:rPr>
        <w:t>Hilfsmittel zum Behinderungsausgleich</w:t>
      </w:r>
      <w:r>
        <w:rPr>
          <w:rFonts w:ascii="Arial" w:eastAsia="Times New Roman" w:hAnsi="Arial" w:cs="Arial"/>
          <w:color w:val="777777"/>
          <w:sz w:val="21"/>
          <w:szCs w:val="21"/>
          <w:lang w:eastAsia="de-DE"/>
        </w:rPr>
        <w:br/>
        <w:t>Urteil vom 15.3.2018 – </w:t>
      </w:r>
      <w:proofErr w:type="spellStart"/>
      <w:r>
        <w:rPr>
          <w:rFonts w:ascii="Arial" w:eastAsia="Times New Roman" w:hAnsi="Arial" w:cs="Arial"/>
          <w:color w:val="777777"/>
          <w:sz w:val="21"/>
          <w:szCs w:val="21"/>
          <w:lang w:eastAsia="de-DE"/>
        </w:rPr>
        <w:t>Az</w:t>
      </w:r>
      <w:proofErr w:type="spellEnd"/>
      <w:r>
        <w:rPr>
          <w:rFonts w:ascii="Arial" w:eastAsia="Times New Roman" w:hAnsi="Arial" w:cs="Arial"/>
          <w:color w:val="777777"/>
          <w:sz w:val="21"/>
          <w:szCs w:val="21"/>
          <w:lang w:eastAsia="de-DE"/>
        </w:rPr>
        <w:t xml:space="preserve"> B3 KR 18/17 R</w:t>
      </w:r>
    </w:p>
    <w:p>
      <w:pPr>
        <w:spacing w:after="300" w:line="240" w:lineRule="auto"/>
        <w:rPr>
          <w:rFonts w:ascii="Arial" w:eastAsia="Times New Roman" w:hAnsi="Arial" w:cs="Arial"/>
          <w:color w:val="777777"/>
          <w:sz w:val="21"/>
          <w:szCs w:val="21"/>
          <w:lang w:eastAsia="de-DE"/>
        </w:rPr>
      </w:pPr>
      <w:r>
        <w:rPr>
          <w:rFonts w:ascii="Arial" w:eastAsia="Times New Roman" w:hAnsi="Arial" w:cs="Arial"/>
          <w:color w:val="777777"/>
          <w:sz w:val="21"/>
          <w:szCs w:val="21"/>
          <w:lang w:eastAsia="de-DE"/>
        </w:rPr>
        <w:t xml:space="preserve">Mit diesem Urteil hat das Bundessozialgericht zum Thema „Genehmigungsfiktion gem.§13 Abs.3a SGB V“ eine Kehrwende zu </w:t>
      </w:r>
      <w:proofErr w:type="gramStart"/>
      <w:r>
        <w:rPr>
          <w:rFonts w:ascii="Arial" w:eastAsia="Times New Roman" w:hAnsi="Arial" w:cs="Arial"/>
          <w:color w:val="777777"/>
          <w:sz w:val="21"/>
          <w:szCs w:val="21"/>
          <w:lang w:eastAsia="de-DE"/>
        </w:rPr>
        <w:t>der bisher überwiegende Rechtsprechung</w:t>
      </w:r>
      <w:proofErr w:type="gramEnd"/>
      <w:r>
        <w:rPr>
          <w:rFonts w:ascii="Arial" w:eastAsia="Times New Roman" w:hAnsi="Arial" w:cs="Arial"/>
          <w:color w:val="777777"/>
          <w:sz w:val="21"/>
          <w:szCs w:val="21"/>
          <w:lang w:eastAsia="de-DE"/>
        </w:rPr>
        <w:t xml:space="preserve"> eingeleitet.</w:t>
      </w:r>
    </w:p>
    <w:p>
      <w:pPr>
        <w:spacing w:after="300" w:line="240" w:lineRule="auto"/>
        <w:rPr>
          <w:rFonts w:ascii="Arial" w:eastAsia="Times New Roman" w:hAnsi="Arial" w:cs="Arial"/>
          <w:color w:val="777777"/>
          <w:sz w:val="21"/>
          <w:szCs w:val="21"/>
          <w:lang w:eastAsia="de-DE"/>
        </w:rPr>
      </w:pPr>
      <w:r>
        <w:rPr>
          <w:rFonts w:ascii="Arial" w:eastAsia="Times New Roman" w:hAnsi="Arial" w:cs="Arial"/>
          <w:color w:val="777777"/>
          <w:sz w:val="21"/>
          <w:szCs w:val="21"/>
          <w:lang w:eastAsia="de-DE"/>
        </w:rPr>
        <w:t xml:space="preserve">Während bislang die weit überwiegende Zahl der Sozialgerichts davon ausging, dass Anträge von Versicherten in der gesetzlichen Krankenkassen innerhalb von drei Wochen bzw. fünf Wochen ( bei Einschaltung des MDK ) beschieden werden müssen, gilt diese Regel nun nicht mehr für Hilfsmittelversorgungen, die zum Ausgleich der Behinderung eingesetzt (z, B. Prothesen, Orthesen, </w:t>
      </w:r>
      <w:proofErr w:type="spellStart"/>
      <w:r>
        <w:rPr>
          <w:rFonts w:ascii="Arial" w:eastAsia="Times New Roman" w:hAnsi="Arial" w:cs="Arial"/>
          <w:color w:val="777777"/>
          <w:sz w:val="21"/>
          <w:szCs w:val="21"/>
          <w:lang w:eastAsia="de-DE"/>
        </w:rPr>
        <w:t>Fußhebersysteme</w:t>
      </w:r>
      <w:proofErr w:type="spellEnd"/>
      <w:r>
        <w:rPr>
          <w:rFonts w:ascii="Arial" w:eastAsia="Times New Roman" w:hAnsi="Arial" w:cs="Arial"/>
          <w:color w:val="777777"/>
          <w:sz w:val="21"/>
          <w:szCs w:val="21"/>
          <w:lang w:eastAsia="de-DE"/>
        </w:rPr>
        <w:t xml:space="preserve">, Rollstühle </w:t>
      </w:r>
      <w:proofErr w:type="spellStart"/>
      <w:r>
        <w:rPr>
          <w:rFonts w:ascii="Arial" w:eastAsia="Times New Roman" w:hAnsi="Arial" w:cs="Arial"/>
          <w:color w:val="777777"/>
          <w:sz w:val="21"/>
          <w:szCs w:val="21"/>
          <w:lang w:eastAsia="de-DE"/>
        </w:rPr>
        <w:t>ect</w:t>
      </w:r>
      <w:proofErr w:type="spellEnd"/>
      <w:r>
        <w:rPr>
          <w:rFonts w:ascii="Arial" w:eastAsia="Times New Roman" w:hAnsi="Arial" w:cs="Arial"/>
          <w:color w:val="777777"/>
          <w:sz w:val="21"/>
          <w:szCs w:val="21"/>
          <w:lang w:eastAsia="de-DE"/>
        </w:rPr>
        <w:t>.).</w:t>
      </w:r>
    </w:p>
    <w:p>
      <w:pPr>
        <w:spacing w:after="300" w:line="240" w:lineRule="auto"/>
        <w:rPr>
          <w:rFonts w:ascii="Arial" w:eastAsia="Times New Roman" w:hAnsi="Arial" w:cs="Arial"/>
          <w:color w:val="777777"/>
          <w:sz w:val="21"/>
          <w:szCs w:val="21"/>
          <w:lang w:eastAsia="de-DE"/>
        </w:rPr>
      </w:pPr>
      <w:r>
        <w:rPr>
          <w:rFonts w:ascii="Arial" w:eastAsia="Times New Roman" w:hAnsi="Arial" w:cs="Arial"/>
          <w:color w:val="777777"/>
          <w:sz w:val="21"/>
          <w:szCs w:val="21"/>
          <w:lang w:eastAsia="de-DE"/>
        </w:rPr>
        <w:t>Die hat das Bundessozialgericht in der Pressemitteilung zu der Entscheidung wie folgt begründet:</w:t>
      </w:r>
    </w:p>
    <w:p>
      <w:pPr>
        <w:pStyle w:val="StandardWeb"/>
        <w:rPr>
          <w:rFonts w:ascii="Open Sans" w:hAnsi="Open Sans" w:cs="Helvetica"/>
          <w:color w:val="777777"/>
          <w:sz w:val="21"/>
          <w:szCs w:val="21"/>
        </w:rPr>
      </w:pPr>
      <w:r>
        <w:rPr>
          <w:rFonts w:ascii="Arial" w:hAnsi="Arial" w:cs="Arial"/>
          <w:color w:val="777777"/>
          <w:sz w:val="21"/>
          <w:szCs w:val="21"/>
        </w:rPr>
        <w:t xml:space="preserve">„Hilfsmittel der GKV zur Vorbeugung“ (§33 Abs.1 Satz 1 Var. 2 SGB </w:t>
      </w:r>
      <w:proofErr w:type="gramStart"/>
      <w:r>
        <w:rPr>
          <w:rFonts w:ascii="Arial" w:hAnsi="Arial" w:cs="Arial"/>
          <w:color w:val="777777"/>
          <w:sz w:val="21"/>
          <w:szCs w:val="21"/>
        </w:rPr>
        <w:t>V )</w:t>
      </w:r>
      <w:proofErr w:type="gramEnd"/>
      <w:r>
        <w:rPr>
          <w:rFonts w:ascii="Arial" w:hAnsi="Arial" w:cs="Arial"/>
          <w:color w:val="777777"/>
          <w:sz w:val="21"/>
          <w:szCs w:val="21"/>
        </w:rPr>
        <w:t xml:space="preserve"> und zum Behinderungsausgleich (§33 Abs. 1 Satz 1 Var. 3 SGB V) gehören – anders als Leistungen, die der </w:t>
      </w:r>
      <w:proofErr w:type="spellStart"/>
      <w:r>
        <w:rPr>
          <w:rFonts w:ascii="Arial" w:hAnsi="Arial" w:cs="Arial"/>
          <w:color w:val="777777"/>
          <w:sz w:val="21"/>
          <w:szCs w:val="21"/>
        </w:rPr>
        <w:t>Sicherung</w:t>
      </w:r>
      <w:r>
        <w:rPr>
          <w:rFonts w:ascii="Open Sans" w:hAnsi="Open Sans" w:cs="Helvetica"/>
          <w:color w:val="777777"/>
          <w:sz w:val="21"/>
          <w:szCs w:val="21"/>
        </w:rPr>
        <w:t>des</w:t>
      </w:r>
      <w:proofErr w:type="spellEnd"/>
      <w:r>
        <w:rPr>
          <w:rFonts w:ascii="Open Sans" w:hAnsi="Open Sans" w:cs="Helvetica"/>
          <w:color w:val="777777"/>
          <w:sz w:val="21"/>
          <w:szCs w:val="21"/>
        </w:rPr>
        <w:t xml:space="preserve"> Erfolgs einer Krankenbehandlung dienen (§33 Abs.1 Satz 1 Var. 1 SGB V) – zu den Leistungen zur medizinischen Rehabilitation. Sie werden nicht in erster Linie mit dem Ziel eingesetzt, auf die Krankheit…. Therapeutisch einzuwirken, sondern hauptsächlich mit dem Ziel, die damit verbundene Teilhabebeeinträchtigung eines Menschen mit Behinderung auszugleichen oder zu mildern.</w:t>
      </w:r>
    </w:p>
    <w:p>
      <w:pPr>
        <w:pStyle w:val="StandardWeb"/>
        <w:rPr>
          <w:rFonts w:ascii="Open Sans" w:hAnsi="Open Sans" w:cs="Helvetica"/>
          <w:color w:val="777777"/>
          <w:sz w:val="21"/>
          <w:szCs w:val="21"/>
        </w:rPr>
      </w:pPr>
      <w:r>
        <w:rPr>
          <w:rFonts w:ascii="Open Sans" w:hAnsi="Open Sans" w:cs="Helvetica"/>
          <w:color w:val="777777"/>
          <w:sz w:val="21"/>
          <w:szCs w:val="21"/>
        </w:rPr>
        <w:t>Auch wenn davon auszugehen ist, dass sich „über lang oder kurz“ das Bundesverfassungsgericht noch mit der Thematik beschäftigen wird, ist derzeit bei Leistungsträgern an die Krankenkasse die neue Rechtslage bereits zu berücksichtigen.</w:t>
      </w:r>
    </w:p>
    <w:p>
      <w:pPr>
        <w:pStyle w:val="StandardWeb"/>
        <w:rPr>
          <w:rFonts w:ascii="Open Sans" w:hAnsi="Open Sans" w:cs="Helvetica"/>
          <w:color w:val="777777"/>
          <w:sz w:val="21"/>
          <w:szCs w:val="21"/>
        </w:rPr>
      </w:pPr>
      <w:r>
        <w:rPr>
          <w:rFonts w:ascii="Open Sans" w:hAnsi="Open Sans" w:cs="Helvetica"/>
          <w:color w:val="777777"/>
          <w:sz w:val="21"/>
          <w:szCs w:val="21"/>
        </w:rPr>
        <w:t>Wir empfehlen daher darauf zu achten, zu welchem Zweck das Hilfsmittel eingesetzt werden soll. (Therapie oder Behinderungsausgleich ?) Bei Hilfsmitteln zur Therapie der Erkrankung ist weiterhin die 3 bzw. 5 Wochen-Frist des §13 Abs.3a SGB V anwendbar.</w:t>
      </w:r>
    </w:p>
    <w:p>
      <w:pPr>
        <w:pStyle w:val="StandardWeb"/>
        <w:rPr>
          <w:rFonts w:ascii="Open Sans" w:hAnsi="Open Sans" w:cs="Helvetica"/>
          <w:color w:val="777777"/>
          <w:sz w:val="21"/>
          <w:szCs w:val="21"/>
        </w:rPr>
      </w:pPr>
      <w:r>
        <w:rPr>
          <w:rFonts w:ascii="Open Sans" w:hAnsi="Open Sans" w:cs="Helvetica"/>
          <w:color w:val="777777"/>
          <w:sz w:val="21"/>
          <w:szCs w:val="21"/>
        </w:rPr>
        <w:t>Bei Hilfsmittel zum Behinderungsausgleich gilt nun die Fristenregelung des §18 SGB IX.</w:t>
      </w:r>
    </w:p>
    <w:p>
      <w:pPr>
        <w:pStyle w:val="StandardWeb"/>
        <w:rPr>
          <w:rFonts w:ascii="Open Sans" w:hAnsi="Open Sans" w:cs="Helvetica"/>
          <w:color w:val="777777"/>
          <w:sz w:val="21"/>
          <w:szCs w:val="21"/>
        </w:rPr>
      </w:pPr>
      <w:r>
        <w:rPr>
          <w:rFonts w:ascii="Open Sans" w:hAnsi="Open Sans" w:cs="Helvetica"/>
          <w:color w:val="777777"/>
          <w:sz w:val="21"/>
          <w:szCs w:val="21"/>
        </w:rPr>
        <w:t>Hiernach muss die Krankenkasse  innerhalb einer Frist von 2 Monaten ab Antragseingang entscheiden. Eine Fristverlängerung ist unter bestimmten Umständen möglich.</w:t>
      </w:r>
    </w:p>
    <w:p>
      <w:pPr>
        <w:pStyle w:val="StandardWeb"/>
        <w:rPr>
          <w:rFonts w:ascii="Open Sans" w:hAnsi="Open Sans" w:cs="Helvetica"/>
          <w:color w:val="777777"/>
          <w:sz w:val="21"/>
          <w:szCs w:val="21"/>
        </w:rPr>
      </w:pPr>
      <w:r>
        <w:rPr>
          <w:rFonts w:ascii="Open Sans" w:hAnsi="Open Sans" w:cs="Helvetica"/>
          <w:color w:val="777777"/>
          <w:sz w:val="21"/>
          <w:szCs w:val="21"/>
        </w:rPr>
        <w:t>Erst nach Ablauf dieser deutlich längeren Frist kann eine Genehmigungsfiktion eintreten, die die Möglichkeit der Selbstbeschaffung eröffnet.</w:t>
      </w:r>
    </w:p>
    <w:p>
      <w:pPr>
        <w:pStyle w:val="StandardWeb"/>
        <w:rPr>
          <w:rFonts w:ascii="Open Sans" w:hAnsi="Open Sans" w:cs="Helvetica"/>
          <w:color w:val="777777"/>
          <w:sz w:val="21"/>
          <w:szCs w:val="21"/>
        </w:rPr>
      </w:pPr>
      <w:r>
        <w:rPr>
          <w:rFonts w:ascii="Open Sans" w:hAnsi="Open Sans" w:cs="Helvetica"/>
          <w:color w:val="777777"/>
          <w:sz w:val="21"/>
          <w:szCs w:val="21"/>
        </w:rPr>
        <w:t xml:space="preserve">Vorsorglich möchten wir darauf hinweisen, dass weiterhin für sämtliche Hilfsmittel (zur Therapie oder Behinderungsausgleich) die Grundregel gilt, dass nach Zugang </w:t>
      </w:r>
      <w:proofErr w:type="gramStart"/>
      <w:r>
        <w:rPr>
          <w:rFonts w:ascii="Open Sans" w:hAnsi="Open Sans" w:cs="Helvetica"/>
          <w:color w:val="777777"/>
          <w:sz w:val="21"/>
          <w:szCs w:val="21"/>
        </w:rPr>
        <w:t>des Ablehnungsbescheid</w:t>
      </w:r>
      <w:proofErr w:type="gramEnd"/>
      <w:r>
        <w:rPr>
          <w:rFonts w:ascii="Open Sans" w:hAnsi="Open Sans" w:cs="Helvetica"/>
          <w:color w:val="777777"/>
          <w:sz w:val="21"/>
          <w:szCs w:val="21"/>
        </w:rPr>
        <w:t xml:space="preserve"> ein Recht auf Selbstbeschaffung des Hilfsmittels besteht. Die Krankenkasse muss im Fall einer rechtswidrigen Ablehnung die Kosten für den Kaufpreis des Hilfsmittels erstatten, soweit die Leistung medizinisch notwendig war.</w:t>
      </w:r>
      <w:r>
        <w:rPr>
          <w:rFonts w:ascii="Open Sans" w:hAnsi="Open Sans" w:cs="Helvetica"/>
          <w:color w:val="777777"/>
          <w:sz w:val="21"/>
          <w:szCs w:val="21"/>
        </w:rPr>
        <w:br/>
        <w:t>QuelleMüller &amp; Dr. Paul</w:t>
      </w:r>
      <w:r>
        <w:rPr>
          <w:rFonts w:ascii="Open Sans" w:hAnsi="Open Sans" w:cs="Helvetica"/>
          <w:color w:val="777777"/>
          <w:sz w:val="21"/>
          <w:szCs w:val="21"/>
        </w:rPr>
        <w:br/>
        <w:t>Rechtsanwälte</w:t>
      </w:r>
    </w:p>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4F3FA7"/>
    <w:multiLevelType w:val="multilevel"/>
    <w:tmpl w:val="E58E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E64A6-C4D0-4921-ABD9-1CA5EA43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pPr>
      <w:spacing w:after="300" w:line="240" w:lineRule="auto"/>
      <w:outlineLvl w:val="0"/>
    </w:pPr>
    <w:rPr>
      <w:rFonts w:ascii="Arial" w:eastAsia="Times New Roman" w:hAnsi="Arial" w:cs="Arial"/>
      <w:b/>
      <w:bCs/>
      <w:color w:val="333333"/>
      <w:kern w:val="36"/>
      <w:sz w:val="42"/>
      <w:szCs w:val="4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imes New Roman" w:hAnsi="Arial" w:cs="Arial"/>
      <w:b/>
      <w:bCs/>
      <w:color w:val="333333"/>
      <w:kern w:val="36"/>
      <w:sz w:val="42"/>
      <w:szCs w:val="42"/>
      <w:lang w:eastAsia="de-DE"/>
    </w:rPr>
  </w:style>
  <w:style w:type="character" w:styleId="Hyperlink">
    <w:name w:val="Hyperlink"/>
    <w:basedOn w:val="Absatz-Standardschriftart"/>
    <w:uiPriority w:val="99"/>
    <w:semiHidden/>
    <w:unhideWhenUsed/>
    <w:rPr>
      <w:strike w:val="0"/>
      <w:dstrike w:val="0"/>
      <w:color w:val="A3282C"/>
      <w:u w:val="none"/>
      <w:effect w:val="none"/>
    </w:rPr>
  </w:style>
  <w:style w:type="paragraph" w:styleId="StandardWeb">
    <w:name w:val="Normal (Web)"/>
    <w:basedOn w:val="Standard"/>
    <w:uiPriority w:val="99"/>
    <w:unhideWhenUsed/>
    <w:pPr>
      <w:spacing w:after="300"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145897">
      <w:bodyDiv w:val="1"/>
      <w:marLeft w:val="0"/>
      <w:marRight w:val="0"/>
      <w:marTop w:val="0"/>
      <w:marBottom w:val="0"/>
      <w:divBdr>
        <w:top w:val="none" w:sz="0" w:space="0" w:color="auto"/>
        <w:left w:val="none" w:sz="0" w:space="0" w:color="auto"/>
        <w:bottom w:val="none" w:sz="0" w:space="0" w:color="auto"/>
        <w:right w:val="none" w:sz="0" w:space="0" w:color="auto"/>
      </w:divBdr>
      <w:divsChild>
        <w:div w:id="1423456625">
          <w:marLeft w:val="0"/>
          <w:marRight w:val="0"/>
          <w:marTop w:val="0"/>
          <w:marBottom w:val="0"/>
          <w:divBdr>
            <w:top w:val="none" w:sz="0" w:space="0" w:color="auto"/>
            <w:left w:val="none" w:sz="0" w:space="0" w:color="auto"/>
            <w:bottom w:val="none" w:sz="0" w:space="0" w:color="auto"/>
            <w:right w:val="none" w:sz="0" w:space="0" w:color="auto"/>
          </w:divBdr>
          <w:divsChild>
            <w:div w:id="180511947">
              <w:marLeft w:val="0"/>
              <w:marRight w:val="0"/>
              <w:marTop w:val="0"/>
              <w:marBottom w:val="0"/>
              <w:divBdr>
                <w:top w:val="none" w:sz="0" w:space="0" w:color="auto"/>
                <w:left w:val="none" w:sz="0" w:space="0" w:color="auto"/>
                <w:bottom w:val="none" w:sz="0" w:space="0" w:color="auto"/>
                <w:right w:val="none" w:sz="0" w:space="0" w:color="auto"/>
              </w:divBdr>
              <w:divsChild>
                <w:div w:id="1509519471">
                  <w:marLeft w:val="0"/>
                  <w:marRight w:val="0"/>
                  <w:marTop w:val="0"/>
                  <w:marBottom w:val="0"/>
                  <w:divBdr>
                    <w:top w:val="none" w:sz="0" w:space="0" w:color="auto"/>
                    <w:left w:val="none" w:sz="0" w:space="0" w:color="auto"/>
                    <w:bottom w:val="none" w:sz="0" w:space="0" w:color="auto"/>
                    <w:right w:val="none" w:sz="0" w:space="0" w:color="auto"/>
                  </w:divBdr>
                  <w:divsChild>
                    <w:div w:id="1984235511">
                      <w:marLeft w:val="0"/>
                      <w:marRight w:val="0"/>
                      <w:marTop w:val="0"/>
                      <w:marBottom w:val="450"/>
                      <w:divBdr>
                        <w:top w:val="none" w:sz="0" w:space="0" w:color="auto"/>
                        <w:left w:val="none" w:sz="0" w:space="0" w:color="auto"/>
                        <w:bottom w:val="none" w:sz="0" w:space="0" w:color="auto"/>
                        <w:right w:val="none" w:sz="0" w:space="0" w:color="auto"/>
                      </w:divBdr>
                    </w:div>
                    <w:div w:id="194853451">
                      <w:marLeft w:val="0"/>
                      <w:marRight w:val="0"/>
                      <w:marTop w:val="0"/>
                      <w:marBottom w:val="0"/>
                      <w:divBdr>
                        <w:top w:val="none" w:sz="0" w:space="0" w:color="auto"/>
                        <w:left w:val="none" w:sz="0" w:space="0" w:color="auto"/>
                        <w:bottom w:val="none" w:sz="0" w:space="0" w:color="auto"/>
                        <w:right w:val="none" w:sz="0" w:space="0" w:color="auto"/>
                      </w:divBdr>
                      <w:divsChild>
                        <w:div w:id="265887825">
                          <w:marLeft w:val="0"/>
                          <w:marRight w:val="0"/>
                          <w:marTop w:val="0"/>
                          <w:marBottom w:val="0"/>
                          <w:divBdr>
                            <w:top w:val="none" w:sz="0" w:space="0" w:color="auto"/>
                            <w:left w:val="none" w:sz="0" w:space="0" w:color="auto"/>
                            <w:bottom w:val="none" w:sz="0" w:space="0" w:color="auto"/>
                            <w:right w:val="none" w:sz="0" w:space="0" w:color="auto"/>
                          </w:divBdr>
                        </w:div>
                        <w:div w:id="28073147">
                          <w:marLeft w:val="0"/>
                          <w:marRight w:val="0"/>
                          <w:marTop w:val="300"/>
                          <w:marBottom w:val="0"/>
                          <w:divBdr>
                            <w:top w:val="none" w:sz="0" w:space="0" w:color="auto"/>
                            <w:left w:val="none" w:sz="0" w:space="0" w:color="auto"/>
                            <w:bottom w:val="none" w:sz="0" w:space="0" w:color="auto"/>
                            <w:right w:val="none" w:sz="0" w:space="0" w:color="auto"/>
                          </w:divBdr>
                        </w:div>
                        <w:div w:id="3197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842667">
      <w:bodyDiv w:val="1"/>
      <w:marLeft w:val="0"/>
      <w:marRight w:val="0"/>
      <w:marTop w:val="0"/>
      <w:marBottom w:val="0"/>
      <w:divBdr>
        <w:top w:val="none" w:sz="0" w:space="0" w:color="auto"/>
        <w:left w:val="none" w:sz="0" w:space="0" w:color="auto"/>
        <w:bottom w:val="none" w:sz="0" w:space="0" w:color="auto"/>
        <w:right w:val="none" w:sz="0" w:space="0" w:color="auto"/>
      </w:divBdr>
      <w:divsChild>
        <w:div w:id="105733512">
          <w:marLeft w:val="0"/>
          <w:marRight w:val="0"/>
          <w:marTop w:val="0"/>
          <w:marBottom w:val="0"/>
          <w:divBdr>
            <w:top w:val="none" w:sz="0" w:space="0" w:color="auto"/>
            <w:left w:val="none" w:sz="0" w:space="0" w:color="auto"/>
            <w:bottom w:val="none" w:sz="0" w:space="0" w:color="auto"/>
            <w:right w:val="none" w:sz="0" w:space="0" w:color="auto"/>
          </w:divBdr>
          <w:divsChild>
            <w:div w:id="1910382814">
              <w:marLeft w:val="0"/>
              <w:marRight w:val="0"/>
              <w:marTop w:val="0"/>
              <w:marBottom w:val="0"/>
              <w:divBdr>
                <w:top w:val="none" w:sz="0" w:space="0" w:color="auto"/>
                <w:left w:val="none" w:sz="0" w:space="0" w:color="auto"/>
                <w:bottom w:val="none" w:sz="0" w:space="0" w:color="auto"/>
                <w:right w:val="none" w:sz="0" w:space="0" w:color="auto"/>
              </w:divBdr>
              <w:divsChild>
                <w:div w:id="452868893">
                  <w:marLeft w:val="0"/>
                  <w:marRight w:val="0"/>
                  <w:marTop w:val="0"/>
                  <w:marBottom w:val="0"/>
                  <w:divBdr>
                    <w:top w:val="none" w:sz="0" w:space="0" w:color="auto"/>
                    <w:left w:val="none" w:sz="0" w:space="0" w:color="auto"/>
                    <w:bottom w:val="none" w:sz="0" w:space="0" w:color="auto"/>
                    <w:right w:val="none" w:sz="0" w:space="0" w:color="auto"/>
                  </w:divBdr>
                  <w:divsChild>
                    <w:div w:id="255136937">
                      <w:marLeft w:val="0"/>
                      <w:marRight w:val="0"/>
                      <w:marTop w:val="0"/>
                      <w:marBottom w:val="0"/>
                      <w:divBdr>
                        <w:top w:val="none" w:sz="0" w:space="0" w:color="auto"/>
                        <w:left w:val="none" w:sz="0" w:space="0" w:color="auto"/>
                        <w:bottom w:val="none" w:sz="0" w:space="0" w:color="auto"/>
                        <w:right w:val="none" w:sz="0" w:space="0" w:color="auto"/>
                      </w:divBdr>
                      <w:divsChild>
                        <w:div w:id="18528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mab.de/category/gerichtsurte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b.de/category/aktuelles/" TargetMode="External"/><Relationship Id="rId5" Type="http://schemas.openxmlformats.org/officeDocument/2006/relationships/hyperlink" Target="https://www.bmab.de/author/detlef-sonnenbe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2730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LWL</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P202T001</dc:creator>
  <cp:lastModifiedBy>Joker3</cp:lastModifiedBy>
  <cp:revision>2</cp:revision>
  <cp:lastPrinted>2018-06-18T10:31:00Z</cp:lastPrinted>
  <dcterms:created xsi:type="dcterms:W3CDTF">2018-07-06T07:10:00Z</dcterms:created>
  <dcterms:modified xsi:type="dcterms:W3CDTF">2018-07-06T07:10:00Z</dcterms:modified>
</cp:coreProperties>
</file>